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0186D" w14:textId="77777777" w:rsidR="00746C32" w:rsidRPr="00746C32" w:rsidRDefault="00746C32" w:rsidP="00746C32">
      <w:pPr>
        <w:spacing w:after="0" w:line="240" w:lineRule="auto"/>
        <w:jc w:val="center"/>
        <w:rPr>
          <w:rFonts w:ascii="Arial" w:eastAsia="Times New Roman" w:hAnsi="Arial" w:cs="Times New Roman"/>
          <w:kern w:val="0"/>
          <w:sz w:val="20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20"/>
          <w:lang w:eastAsia="es-CO"/>
          <w14:ligatures w14:val="none"/>
        </w:rPr>
        <w:t>Guía Técnica para la Evaluación Integral de Urgencias</w:t>
      </w:r>
      <w:r w:rsidRPr="00746C32">
        <w:rPr>
          <w:rFonts w:ascii="Arial" w:eastAsia="Times New Roman" w:hAnsi="Arial" w:cs="Times New Roman"/>
          <w:kern w:val="0"/>
          <w:sz w:val="20"/>
          <w:lang w:eastAsia="es-CO"/>
          <w14:ligatures w14:val="none"/>
        </w:rPr>
        <w:br/>
      </w:r>
    </w:p>
    <w:p w14:paraId="3745FD58" w14:textId="4D20FB79" w:rsidR="00746C32" w:rsidRDefault="00746C32" w:rsidP="00746C3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Esta es la lista de chequeo técnica profesional consolidada para la evaluación del servicio de urgencias. El documento integra los estándares de infraestructura, medicamentos e interdependencia de la </w:t>
      </w:r>
      <w:r w:rsidRPr="00746C32"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t>Resolución 3100 de 2019</w:t>
      </w: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, los criterios técnicos de Triage de la </w:t>
      </w:r>
      <w:r w:rsidRPr="00746C32"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t>Resolución 5596 de 2015</w:t>
      </w: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, los tiempos de espera de ambulancias del </w:t>
      </w:r>
      <w:r w:rsidRPr="00746C32"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t>Decreto 437 de 2019</w:t>
      </w: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, las directrices de efectividad de la </w:t>
      </w:r>
      <w:r w:rsidRPr="00746C32"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t>Circular 005 de 2025 (SDS)</w:t>
      </w: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 y los requerimientos de reporte de la </w:t>
      </w:r>
      <w:r w:rsidRPr="00746C32"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t>Resolución 373 de 2026</w:t>
      </w: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.</w:t>
      </w:r>
      <w:r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 xml:space="preserve"> </w:t>
      </w:r>
      <w:r w:rsidRPr="00746C32"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t>Nota sobre la Resolución 373 de 2026:</w:t>
      </w: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 Esta norma se encuentra actualmente en fase de socialización y alineación técnica; su cumplimiento para el reporte obligatorio de archivos planos a través de la plataforma PISIS inicia formalmente en </w:t>
      </w:r>
      <w:r w:rsidRPr="00746C32"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t>noviembre de 2026</w:t>
      </w: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.</w:t>
      </w:r>
    </w:p>
    <w:p w14:paraId="61456CCA" w14:textId="77777777" w:rsidR="00746C32" w:rsidRPr="00746C32" w:rsidRDefault="00746C32" w:rsidP="00746C32">
      <w:pPr>
        <w:spacing w:after="0" w:line="240" w:lineRule="auto"/>
        <w:jc w:val="both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</w:p>
    <w:p w14:paraId="1314F85B" w14:textId="623E1714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-------------------------------------------------------------------------------------------------------------------------------------------------------------------</w:t>
      </w:r>
    </w:p>
    <w:p w14:paraId="170CEF0F" w14:textId="77777777" w:rsidR="00746C32" w:rsidRDefault="00746C32" w:rsidP="00746C32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</w:p>
    <w:p w14:paraId="268882C4" w14:textId="3F6B6BA2" w:rsidR="00746C32" w:rsidRPr="00746C32" w:rsidRDefault="00746C32" w:rsidP="00746C32">
      <w:pPr>
        <w:spacing w:after="0" w:line="240" w:lineRule="auto"/>
        <w:jc w:val="center"/>
        <w:rPr>
          <w:rFonts w:ascii="Arial" w:eastAsia="Times New Roman" w:hAnsi="Arial" w:cs="Times New Roman"/>
          <w:b/>
          <w:kern w:val="0"/>
          <w:sz w:val="20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20"/>
          <w:lang w:eastAsia="es-CO"/>
          <w14:ligatures w14:val="none"/>
        </w:rPr>
        <w:t>Lista de Chequeo: Evaluación Integral del Servicio de Urgencias</w:t>
      </w:r>
    </w:p>
    <w:p w14:paraId="3DF38DFC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</w:p>
    <w:p w14:paraId="5E0D6C86" w14:textId="055C3896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  <w:t>1. Seguimiento de mecanismos de acceso (Infraestructura, Medicamentos e Interdependencia)</w:t>
      </w:r>
    </w:p>
    <w:p w14:paraId="440929EB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bCs/>
          <w:iCs/>
          <w:kern w:val="0"/>
          <w:sz w:val="18"/>
          <w:lang w:eastAsia="es-CO"/>
          <w14:ligatures w14:val="none"/>
        </w:rPr>
        <w:t>Criterio</w:t>
      </w:r>
      <w:r w:rsidRPr="00746C32"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  <w:t>: Verificar que la IPS cuente con la estructura y suficiencia de recursos para garantizar la atención inmediata y segura.</w:t>
      </w:r>
    </w:p>
    <w:p w14:paraId="4379FDC7" w14:textId="77777777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2"/>
        <w:gridCol w:w="1519"/>
        <w:gridCol w:w="6063"/>
        <w:gridCol w:w="958"/>
      </w:tblGrid>
      <w:tr w:rsidR="00746C32" w:rsidRPr="00746C32" w14:paraId="7D45E6E1" w14:textId="77777777" w:rsidTr="00746C32">
        <w:tc>
          <w:tcPr>
            <w:tcW w:w="0" w:type="auto"/>
            <w:vAlign w:val="center"/>
            <w:hideMark/>
          </w:tcPr>
          <w:p w14:paraId="2E9A0306" w14:textId="50DC53C0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6572D12C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Ítem de Verificación</w:t>
            </w:r>
          </w:p>
        </w:tc>
        <w:tc>
          <w:tcPr>
            <w:tcW w:w="0" w:type="auto"/>
            <w:vAlign w:val="center"/>
            <w:hideMark/>
          </w:tcPr>
          <w:p w14:paraId="00CF7694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Requisito / Referencia</w:t>
            </w:r>
          </w:p>
        </w:tc>
        <w:tc>
          <w:tcPr>
            <w:tcW w:w="0" w:type="auto"/>
            <w:hideMark/>
          </w:tcPr>
          <w:p w14:paraId="3204CD54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Cumple (S/N)</w:t>
            </w:r>
          </w:p>
        </w:tc>
      </w:tr>
      <w:tr w:rsidR="00746C32" w:rsidRPr="00746C32" w14:paraId="3CCC178C" w14:textId="77777777" w:rsidTr="00746C32">
        <w:tc>
          <w:tcPr>
            <w:tcW w:w="0" w:type="auto"/>
            <w:hideMark/>
          </w:tcPr>
          <w:p w14:paraId="7DB7497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Infraestructura</w:t>
            </w:r>
          </w:p>
        </w:tc>
        <w:tc>
          <w:tcPr>
            <w:tcW w:w="0" w:type="auto"/>
            <w:hideMark/>
          </w:tcPr>
          <w:p w14:paraId="7B8B8A3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Acceso y Localización</w:t>
            </w:r>
          </w:p>
        </w:tc>
        <w:tc>
          <w:tcPr>
            <w:tcW w:w="0" w:type="auto"/>
            <w:hideMark/>
          </w:tcPr>
          <w:p w14:paraId="334159C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El servicio cuenta con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acceso directo desde el exterior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y está localizado en el mismo nivel donde funciona el servicio.</w:t>
            </w:r>
          </w:p>
        </w:tc>
        <w:tc>
          <w:tcPr>
            <w:tcW w:w="0" w:type="auto"/>
            <w:hideMark/>
          </w:tcPr>
          <w:p w14:paraId="6D1E41B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2FC29DA4" w14:textId="77777777" w:rsidTr="00746C32">
        <w:tc>
          <w:tcPr>
            <w:tcW w:w="0" w:type="auto"/>
            <w:hideMark/>
          </w:tcPr>
          <w:p w14:paraId="7CB0185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Infraestructura</w:t>
            </w:r>
          </w:p>
        </w:tc>
        <w:tc>
          <w:tcPr>
            <w:tcW w:w="0" w:type="auto"/>
            <w:hideMark/>
          </w:tcPr>
          <w:p w14:paraId="0AA1E00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Reserva de Agua</w:t>
            </w:r>
          </w:p>
        </w:tc>
        <w:tc>
          <w:tcPr>
            <w:tcW w:w="0" w:type="auto"/>
            <w:hideMark/>
          </w:tcPr>
          <w:p w14:paraId="7F1D19A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Cuenta con tanque de almacenamiento que garantiza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24 horas de reserva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(600 lt por camilla/día).</w:t>
            </w:r>
          </w:p>
        </w:tc>
        <w:tc>
          <w:tcPr>
            <w:tcW w:w="0" w:type="auto"/>
            <w:hideMark/>
          </w:tcPr>
          <w:p w14:paraId="1A6F0294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4D739269" w14:textId="77777777" w:rsidTr="00746C32">
        <w:tc>
          <w:tcPr>
            <w:tcW w:w="0" w:type="auto"/>
            <w:hideMark/>
          </w:tcPr>
          <w:p w14:paraId="5826670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Infraestructura</w:t>
            </w:r>
          </w:p>
        </w:tc>
        <w:tc>
          <w:tcPr>
            <w:tcW w:w="0" w:type="auto"/>
            <w:hideMark/>
          </w:tcPr>
          <w:p w14:paraId="544C730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Área de Triage</w:t>
            </w:r>
          </w:p>
        </w:tc>
        <w:tc>
          <w:tcPr>
            <w:tcW w:w="0" w:type="auto"/>
            <w:hideMark/>
          </w:tcPr>
          <w:p w14:paraId="13E6BA4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Ambiente debidamente señalizado que garantiza la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privacidad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durante la valoración.</w:t>
            </w:r>
          </w:p>
        </w:tc>
        <w:tc>
          <w:tcPr>
            <w:tcW w:w="0" w:type="auto"/>
            <w:hideMark/>
          </w:tcPr>
          <w:p w14:paraId="1585EA2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120BF177" w14:textId="77777777" w:rsidTr="00746C32">
        <w:tc>
          <w:tcPr>
            <w:tcW w:w="0" w:type="auto"/>
            <w:hideMark/>
          </w:tcPr>
          <w:p w14:paraId="65C4963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Infraestructura</w:t>
            </w:r>
          </w:p>
        </w:tc>
        <w:tc>
          <w:tcPr>
            <w:tcW w:w="0" w:type="auto"/>
            <w:hideMark/>
          </w:tcPr>
          <w:p w14:paraId="41C4A90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Salas de Observación</w:t>
            </w:r>
          </w:p>
        </w:tc>
        <w:tc>
          <w:tcPr>
            <w:tcW w:w="0" w:type="auto"/>
            <w:hideMark/>
          </w:tcPr>
          <w:p w14:paraId="30956FF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Áreas independientes por sexo con un área mínima de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6  por camilla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y sistema de llamado de enfermería.</w:t>
            </w:r>
          </w:p>
        </w:tc>
        <w:tc>
          <w:tcPr>
            <w:tcW w:w="0" w:type="auto"/>
            <w:hideMark/>
          </w:tcPr>
          <w:p w14:paraId="6FF4812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67F51449" w14:textId="77777777" w:rsidTr="00746C32">
        <w:tc>
          <w:tcPr>
            <w:tcW w:w="0" w:type="auto"/>
            <w:hideMark/>
          </w:tcPr>
          <w:p w14:paraId="6F3B278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Infraestructura</w:t>
            </w:r>
          </w:p>
        </w:tc>
        <w:tc>
          <w:tcPr>
            <w:tcW w:w="0" w:type="auto"/>
            <w:hideMark/>
          </w:tcPr>
          <w:p w14:paraId="4B68B3A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Sala de Reanimación</w:t>
            </w:r>
          </w:p>
        </w:tc>
        <w:tc>
          <w:tcPr>
            <w:tcW w:w="0" w:type="auto"/>
            <w:hideMark/>
          </w:tcPr>
          <w:p w14:paraId="0AC0AAF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Área mínima de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12 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con mesón, poceta, lavamanos y acceso expedito.</w:t>
            </w:r>
          </w:p>
        </w:tc>
        <w:tc>
          <w:tcPr>
            <w:tcW w:w="0" w:type="auto"/>
            <w:hideMark/>
          </w:tcPr>
          <w:p w14:paraId="1C6BA06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6CC03EF1" w14:textId="77777777" w:rsidTr="00746C32">
        <w:tc>
          <w:tcPr>
            <w:tcW w:w="0" w:type="auto"/>
            <w:hideMark/>
          </w:tcPr>
          <w:p w14:paraId="40182D4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Medicamentos</w:t>
            </w:r>
          </w:p>
        </w:tc>
        <w:tc>
          <w:tcPr>
            <w:tcW w:w="0" w:type="auto"/>
            <w:hideMark/>
          </w:tcPr>
          <w:p w14:paraId="7A8EDBA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Carro de Paro</w:t>
            </w:r>
          </w:p>
        </w:tc>
        <w:tc>
          <w:tcPr>
            <w:tcW w:w="0" w:type="auto"/>
            <w:hideMark/>
          </w:tcPr>
          <w:p w14:paraId="558E93F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Cuenta con desfibrilador bifásico, monitor, laringoscopio y los medicamentos definidos por el prestador.</w:t>
            </w:r>
          </w:p>
        </w:tc>
        <w:tc>
          <w:tcPr>
            <w:tcW w:w="0" w:type="auto"/>
            <w:hideMark/>
          </w:tcPr>
          <w:p w14:paraId="59CEC74A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7466A873" w14:textId="77777777" w:rsidTr="00746C32">
        <w:tc>
          <w:tcPr>
            <w:tcW w:w="0" w:type="auto"/>
            <w:hideMark/>
          </w:tcPr>
          <w:p w14:paraId="263B9452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Medicamentos</w:t>
            </w:r>
          </w:p>
        </w:tc>
        <w:tc>
          <w:tcPr>
            <w:tcW w:w="0" w:type="auto"/>
            <w:hideMark/>
          </w:tcPr>
          <w:p w14:paraId="56B5CF8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Kits de Emergencia</w:t>
            </w:r>
          </w:p>
        </w:tc>
        <w:tc>
          <w:tcPr>
            <w:tcW w:w="0" w:type="auto"/>
            <w:hideMark/>
          </w:tcPr>
          <w:p w14:paraId="17E646C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Disponibilidad de Kit para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Violencia Sexual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y Kit para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Ataques con Agentes Químicos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7837167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6394FC75" w14:textId="77777777" w:rsidTr="00746C32">
        <w:tc>
          <w:tcPr>
            <w:tcW w:w="0" w:type="auto"/>
            <w:hideMark/>
          </w:tcPr>
          <w:p w14:paraId="21594B7A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Medicamentos</w:t>
            </w:r>
          </w:p>
        </w:tc>
        <w:tc>
          <w:tcPr>
            <w:tcW w:w="0" w:type="auto"/>
            <w:hideMark/>
          </w:tcPr>
          <w:p w14:paraId="79B138F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Oxígeno y Succión</w:t>
            </w:r>
          </w:p>
        </w:tc>
        <w:tc>
          <w:tcPr>
            <w:tcW w:w="0" w:type="auto"/>
            <w:hideMark/>
          </w:tcPr>
          <w:p w14:paraId="1EE478E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Disponibilidad permanente mediante red o equipos portátiles en reanimación y observación.</w:t>
            </w:r>
          </w:p>
        </w:tc>
        <w:tc>
          <w:tcPr>
            <w:tcW w:w="0" w:type="auto"/>
            <w:hideMark/>
          </w:tcPr>
          <w:p w14:paraId="3DFE65D2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527CD3E2" w14:textId="77777777" w:rsidTr="00746C32">
        <w:tc>
          <w:tcPr>
            <w:tcW w:w="0" w:type="auto"/>
            <w:hideMark/>
          </w:tcPr>
          <w:p w14:paraId="65A6062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Interdependencia</w:t>
            </w:r>
          </w:p>
        </w:tc>
        <w:tc>
          <w:tcPr>
            <w:tcW w:w="0" w:type="auto"/>
            <w:hideMark/>
          </w:tcPr>
          <w:p w14:paraId="2D478E84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Apoyo Diagnóstico</w:t>
            </w:r>
          </w:p>
        </w:tc>
        <w:tc>
          <w:tcPr>
            <w:tcW w:w="0" w:type="auto"/>
            <w:hideMark/>
          </w:tcPr>
          <w:p w14:paraId="2D33313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Disponibilidad de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Laboratorio Clínico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e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Imágenes Diagnósticas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las 24 horas.</w:t>
            </w:r>
          </w:p>
        </w:tc>
        <w:tc>
          <w:tcPr>
            <w:tcW w:w="0" w:type="auto"/>
            <w:hideMark/>
          </w:tcPr>
          <w:p w14:paraId="1FF343C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  <w:tr w:rsidR="00746C32" w:rsidRPr="00746C32" w14:paraId="7877F4D2" w14:textId="77777777" w:rsidTr="00746C32">
        <w:tc>
          <w:tcPr>
            <w:tcW w:w="0" w:type="auto"/>
            <w:hideMark/>
          </w:tcPr>
          <w:p w14:paraId="19D958B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Interdependencia</w:t>
            </w:r>
          </w:p>
        </w:tc>
        <w:tc>
          <w:tcPr>
            <w:tcW w:w="0" w:type="auto"/>
            <w:hideMark/>
          </w:tcPr>
          <w:p w14:paraId="422D7FF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Soporte de Internación</w:t>
            </w:r>
          </w:p>
        </w:tc>
        <w:tc>
          <w:tcPr>
            <w:tcW w:w="0" w:type="auto"/>
            <w:hideMark/>
          </w:tcPr>
          <w:p w14:paraId="6692B02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Disponibilidad de servicios de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Hospitalización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y, según complejidad, Cirugía y UCI.</w:t>
            </w:r>
          </w:p>
        </w:tc>
        <w:tc>
          <w:tcPr>
            <w:tcW w:w="0" w:type="auto"/>
            <w:hideMark/>
          </w:tcPr>
          <w:p w14:paraId="247D5D7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</w:tr>
    </w:tbl>
    <w:p w14:paraId="20CE281F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</w:pPr>
    </w:p>
    <w:p w14:paraId="2CF824E3" w14:textId="663BD7AE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  <w:t>2. Identificación de barreras administrativas frente al acceso</w:t>
      </w:r>
    </w:p>
    <w:p w14:paraId="46ABD109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bCs/>
          <w:iCs/>
          <w:kern w:val="0"/>
          <w:sz w:val="18"/>
          <w:lang w:eastAsia="es-CO"/>
          <w14:ligatures w14:val="none"/>
        </w:rPr>
        <w:t>Criterio</w:t>
      </w:r>
      <w:r w:rsidRPr="00746C32"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  <w:t>: Eliminar trámites previos que posterguen la atención vital o nieguen el derecho fundamental a la salud.</w:t>
      </w:r>
    </w:p>
    <w:p w14:paraId="490EAD93" w14:textId="77777777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7"/>
        <w:gridCol w:w="5986"/>
        <w:gridCol w:w="978"/>
        <w:gridCol w:w="1321"/>
      </w:tblGrid>
      <w:tr w:rsidR="00746C32" w:rsidRPr="00746C32" w14:paraId="7E2484C1" w14:textId="77777777" w:rsidTr="00746C32">
        <w:tc>
          <w:tcPr>
            <w:tcW w:w="0" w:type="auto"/>
            <w:vAlign w:val="center"/>
            <w:hideMark/>
          </w:tcPr>
          <w:p w14:paraId="487F256E" w14:textId="6875390E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Ítem</w:t>
            </w:r>
          </w:p>
        </w:tc>
        <w:tc>
          <w:tcPr>
            <w:tcW w:w="0" w:type="auto"/>
            <w:vAlign w:val="center"/>
            <w:hideMark/>
          </w:tcPr>
          <w:p w14:paraId="50CBBAA9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Requisito / Referencia</w:t>
            </w:r>
          </w:p>
        </w:tc>
        <w:tc>
          <w:tcPr>
            <w:tcW w:w="0" w:type="auto"/>
            <w:vAlign w:val="center"/>
            <w:hideMark/>
          </w:tcPr>
          <w:p w14:paraId="32C4CD19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Cumple (S/N)</w:t>
            </w:r>
          </w:p>
        </w:tc>
        <w:tc>
          <w:tcPr>
            <w:tcW w:w="0" w:type="auto"/>
            <w:vAlign w:val="center"/>
            <w:hideMark/>
          </w:tcPr>
          <w:p w14:paraId="42FCFA8B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Observaciones</w:t>
            </w:r>
          </w:p>
        </w:tc>
      </w:tr>
      <w:tr w:rsidR="00746C32" w:rsidRPr="00746C32" w14:paraId="36B7A84E" w14:textId="77777777" w:rsidTr="00746C32">
        <w:tc>
          <w:tcPr>
            <w:tcW w:w="0" w:type="auto"/>
            <w:hideMark/>
          </w:tcPr>
          <w:p w14:paraId="5A05CD4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Triage Inmediato</w:t>
            </w:r>
          </w:p>
        </w:tc>
        <w:tc>
          <w:tcPr>
            <w:tcW w:w="0" w:type="auto"/>
            <w:hideMark/>
          </w:tcPr>
          <w:p w14:paraId="2BA13606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El Triage se realiza inmediatamente a la llegada del paciente,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antes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de cualquier trámite administrativo.</w:t>
            </w:r>
          </w:p>
        </w:tc>
        <w:tc>
          <w:tcPr>
            <w:tcW w:w="0" w:type="auto"/>
            <w:hideMark/>
          </w:tcPr>
          <w:p w14:paraId="62A2491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6DBBB9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0DB2D925" w14:textId="77777777" w:rsidTr="00746C32">
        <w:tc>
          <w:tcPr>
            <w:tcW w:w="0" w:type="auto"/>
            <w:hideMark/>
          </w:tcPr>
          <w:p w14:paraId="3EC0912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Verificación de Derechos</w:t>
            </w:r>
          </w:p>
        </w:tc>
        <w:tc>
          <w:tcPr>
            <w:tcW w:w="0" w:type="auto"/>
            <w:hideMark/>
          </w:tcPr>
          <w:p w14:paraId="7C8C5BD4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El proceso de verificación de seguridad social se realiza obligatoriamente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después del Triage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2FABC0B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6B0DDBB7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29F0ACE3" w14:textId="77777777" w:rsidTr="00746C32">
        <w:tc>
          <w:tcPr>
            <w:tcW w:w="0" w:type="auto"/>
            <w:hideMark/>
          </w:tcPr>
          <w:p w14:paraId="21411604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Atención sin Contrato</w:t>
            </w:r>
          </w:p>
        </w:tc>
        <w:tc>
          <w:tcPr>
            <w:tcW w:w="0" w:type="auto"/>
            <w:hideMark/>
          </w:tcPr>
          <w:p w14:paraId="58F66C6C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Se garantiza la atención inicial de urgencias de forma obligatoria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sin necesidad de contrato o pago previo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00AA4454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F0BFCD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128BA6F1" w14:textId="77777777" w:rsidTr="00746C32">
        <w:tc>
          <w:tcPr>
            <w:tcW w:w="0" w:type="auto"/>
            <w:hideMark/>
          </w:tcPr>
          <w:p w14:paraId="1125567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Área para Ambulancias</w:t>
            </w:r>
          </w:p>
        </w:tc>
        <w:tc>
          <w:tcPr>
            <w:tcW w:w="0" w:type="auto"/>
            <w:hideMark/>
          </w:tcPr>
          <w:p w14:paraId="60722AA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Cuenta con área señalizada y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exclusiva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para el acceso y parqueo de ambulancias a la entrada.</w:t>
            </w:r>
          </w:p>
        </w:tc>
        <w:tc>
          <w:tcPr>
            <w:tcW w:w="0" w:type="auto"/>
            <w:hideMark/>
          </w:tcPr>
          <w:p w14:paraId="16DBBCC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6E4CCA6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0091BA34" w14:textId="77777777" w:rsidTr="00746C32">
        <w:tc>
          <w:tcPr>
            <w:tcW w:w="0" w:type="auto"/>
            <w:hideMark/>
          </w:tcPr>
          <w:p w14:paraId="12902C97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No Negación de Atención</w:t>
            </w:r>
          </w:p>
        </w:tc>
        <w:tc>
          <w:tcPr>
            <w:tcW w:w="0" w:type="auto"/>
            <w:hideMark/>
          </w:tcPr>
          <w:p w14:paraId="400B69C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Bajo ninguna circunstancia el Triage se emplea como mecanismo para negar la atención inicial.</w:t>
            </w:r>
          </w:p>
        </w:tc>
        <w:tc>
          <w:tcPr>
            <w:tcW w:w="0" w:type="auto"/>
            <w:hideMark/>
          </w:tcPr>
          <w:p w14:paraId="10E6F29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6F5037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</w:tbl>
    <w:p w14:paraId="3A963B3A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</w:pPr>
    </w:p>
    <w:p w14:paraId="109DECDE" w14:textId="77777777" w:rsidR="00746C32" w:rsidRDefault="00746C32">
      <w:pPr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br w:type="page"/>
      </w:r>
    </w:p>
    <w:p w14:paraId="71A1208C" w14:textId="306AE9F3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  <w:lastRenderedPageBreak/>
        <w:t>3. Oportunidad en la atención y reporte de tiempos</w:t>
      </w:r>
    </w:p>
    <w:p w14:paraId="4D6A9BE3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bCs/>
          <w:iCs/>
          <w:kern w:val="0"/>
          <w:sz w:val="18"/>
          <w:lang w:eastAsia="es-CO"/>
          <w14:ligatures w14:val="none"/>
        </w:rPr>
        <w:t>Criterio</w:t>
      </w:r>
      <w:r w:rsidRPr="00746C32"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  <w:t>: Monitorear el cumplimiento de los tiempos técnicos y la trazabilidad del ciclo de atención.</w:t>
      </w:r>
    </w:p>
    <w:p w14:paraId="274AB3E6" w14:textId="77777777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4"/>
        <w:gridCol w:w="6386"/>
        <w:gridCol w:w="801"/>
        <w:gridCol w:w="1321"/>
      </w:tblGrid>
      <w:tr w:rsidR="00746C32" w:rsidRPr="00746C32" w14:paraId="60F3B19D" w14:textId="77777777" w:rsidTr="00746C32">
        <w:tc>
          <w:tcPr>
            <w:tcW w:w="0" w:type="auto"/>
            <w:vAlign w:val="center"/>
            <w:hideMark/>
          </w:tcPr>
          <w:p w14:paraId="0DEB309B" w14:textId="040E69F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Ítem</w:t>
            </w:r>
          </w:p>
        </w:tc>
        <w:tc>
          <w:tcPr>
            <w:tcW w:w="0" w:type="auto"/>
            <w:vAlign w:val="center"/>
            <w:hideMark/>
          </w:tcPr>
          <w:p w14:paraId="12B45552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Requisito / Referencia</w:t>
            </w:r>
          </w:p>
        </w:tc>
        <w:tc>
          <w:tcPr>
            <w:tcW w:w="0" w:type="auto"/>
            <w:vAlign w:val="center"/>
            <w:hideMark/>
          </w:tcPr>
          <w:p w14:paraId="2B39E84F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Cumple (S/N)</w:t>
            </w:r>
          </w:p>
        </w:tc>
        <w:tc>
          <w:tcPr>
            <w:tcW w:w="0" w:type="auto"/>
            <w:vAlign w:val="center"/>
            <w:hideMark/>
          </w:tcPr>
          <w:p w14:paraId="6791D70B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Observaciones</w:t>
            </w:r>
          </w:p>
        </w:tc>
      </w:tr>
      <w:tr w:rsidR="00746C32" w:rsidRPr="00746C32" w14:paraId="7FC43270" w14:textId="77777777" w:rsidTr="00746C32">
        <w:tc>
          <w:tcPr>
            <w:tcW w:w="0" w:type="auto"/>
            <w:hideMark/>
          </w:tcPr>
          <w:p w14:paraId="7FF1AE1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Atención Triage I</w:t>
            </w:r>
          </w:p>
        </w:tc>
        <w:tc>
          <w:tcPr>
            <w:tcW w:w="0" w:type="auto"/>
            <w:hideMark/>
          </w:tcPr>
          <w:p w14:paraId="75B0DBA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Recibe atención médica e intervenciones de reanimación de forma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inmediata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1CE7AF8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F447187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1C015DD6" w14:textId="77777777" w:rsidTr="00746C32">
        <w:tc>
          <w:tcPr>
            <w:tcW w:w="0" w:type="auto"/>
            <w:hideMark/>
          </w:tcPr>
          <w:p w14:paraId="24CFF032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Oportunidad Triage II</w:t>
            </w:r>
          </w:p>
        </w:tc>
        <w:tc>
          <w:tcPr>
            <w:tcW w:w="0" w:type="auto"/>
            <w:hideMark/>
          </w:tcPr>
          <w:p w14:paraId="583E6B3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El tiempo de espera para atención médica efectiva no debe superar los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30 minutos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6DA491B2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5D763CA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42CC3690" w14:textId="77777777" w:rsidTr="00746C32">
        <w:tc>
          <w:tcPr>
            <w:tcW w:w="0" w:type="auto"/>
            <w:hideMark/>
          </w:tcPr>
          <w:p w14:paraId="7B7990B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Espera de Ambulancia</w:t>
            </w:r>
          </w:p>
        </w:tc>
        <w:tc>
          <w:tcPr>
            <w:tcW w:w="0" w:type="auto"/>
            <w:hideMark/>
          </w:tcPr>
          <w:p w14:paraId="01B0A7C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La recepción del paciente y liberación del recurso no supera los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45 minutos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7120354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BA9F94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6F606555" w14:textId="77777777" w:rsidTr="00746C32">
        <w:tc>
          <w:tcPr>
            <w:tcW w:w="0" w:type="auto"/>
            <w:hideMark/>
          </w:tcPr>
          <w:p w14:paraId="2F56073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Publicación de Tiempos</w:t>
            </w:r>
          </w:p>
        </w:tc>
        <w:tc>
          <w:tcPr>
            <w:tcW w:w="0" w:type="auto"/>
            <w:hideMark/>
          </w:tcPr>
          <w:p w14:paraId="125F4E6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Los tiempos promedio para Triage III, IV y V están publicados en lugar visible al usuario.</w:t>
            </w:r>
          </w:p>
        </w:tc>
        <w:tc>
          <w:tcPr>
            <w:tcW w:w="0" w:type="auto"/>
            <w:hideMark/>
          </w:tcPr>
          <w:p w14:paraId="6D4E95B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AD242FA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105561BB" w14:textId="77777777" w:rsidTr="00746C32">
        <w:tc>
          <w:tcPr>
            <w:tcW w:w="0" w:type="auto"/>
            <w:hideMark/>
          </w:tcPr>
          <w:p w14:paraId="601C591A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Trazabilidad PISIS</w:t>
            </w:r>
          </w:p>
        </w:tc>
        <w:tc>
          <w:tcPr>
            <w:tcW w:w="0" w:type="auto"/>
            <w:hideMark/>
          </w:tcPr>
          <w:p w14:paraId="3A931196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La IPS cuenta con registros internos de tiempos (ingreso, triage, consulta, egreso) para el reporte obligatorio (Res. 373/26).</w:t>
            </w:r>
          </w:p>
        </w:tc>
        <w:tc>
          <w:tcPr>
            <w:tcW w:w="0" w:type="auto"/>
            <w:hideMark/>
          </w:tcPr>
          <w:p w14:paraId="37168AD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6D97B2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A3749A" w:rsidRPr="00746C32" w14:paraId="61F2B64B" w14:textId="77777777" w:rsidTr="00746C32">
        <w:tc>
          <w:tcPr>
            <w:tcW w:w="0" w:type="auto"/>
          </w:tcPr>
          <w:p w14:paraId="3930CE87" w14:textId="2D7874E3" w:rsidR="00A3749A" w:rsidRPr="00746C32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Estrtegias que mejoran oportunidad</w:t>
            </w:r>
          </w:p>
        </w:tc>
        <w:tc>
          <w:tcPr>
            <w:tcW w:w="0" w:type="auto"/>
          </w:tcPr>
          <w:p w14:paraId="206FF261" w14:textId="055CD895" w:rsidR="00A3749A" w:rsidRPr="00746C32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A3749A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Adelantar acciones que mejoren la oportunidad para el acceso a los servicios conexos a la atención de urgencias, entre ellos, ampliación o implementación de la consulta externa prioritaria, servicios de apoyo diagnóstico, alta temprana domiciliaria, extensión hospitalaria y Telemedicina.</w:t>
            </w:r>
          </w:p>
        </w:tc>
        <w:tc>
          <w:tcPr>
            <w:tcW w:w="0" w:type="auto"/>
          </w:tcPr>
          <w:p w14:paraId="01B224D8" w14:textId="77777777" w:rsidR="00A3749A" w:rsidRPr="00746C32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</w:tcPr>
          <w:p w14:paraId="2A3C2F63" w14:textId="77777777" w:rsidR="00A3749A" w:rsidRPr="00746C32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</w:tbl>
    <w:p w14:paraId="0834C2A5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</w:pPr>
    </w:p>
    <w:p w14:paraId="3692F403" w14:textId="3803E353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  <w:t>4. Identificación de derechos y deberes del paciente (Comunicación y trato digno)</w:t>
      </w:r>
    </w:p>
    <w:p w14:paraId="3EA7EFF5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bCs/>
          <w:iCs/>
          <w:kern w:val="0"/>
          <w:sz w:val="18"/>
          <w:lang w:eastAsia="es-CO"/>
          <w14:ligatures w14:val="none"/>
        </w:rPr>
        <w:t>Criterio</w:t>
      </w:r>
      <w:r w:rsidRPr="00746C32"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  <w:t>: Asegurar que la información sea clara, suficiente y con enfoque humanizado.</w:t>
      </w:r>
    </w:p>
    <w:p w14:paraId="0DA1720F" w14:textId="77777777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6"/>
        <w:gridCol w:w="5993"/>
        <w:gridCol w:w="982"/>
        <w:gridCol w:w="1321"/>
      </w:tblGrid>
      <w:tr w:rsidR="00746C32" w:rsidRPr="00746C32" w14:paraId="3657638F" w14:textId="77777777" w:rsidTr="00746C32">
        <w:tc>
          <w:tcPr>
            <w:tcW w:w="0" w:type="auto"/>
            <w:vAlign w:val="center"/>
            <w:hideMark/>
          </w:tcPr>
          <w:p w14:paraId="4BAD4DD0" w14:textId="08E65138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Ítem</w:t>
            </w:r>
          </w:p>
        </w:tc>
        <w:tc>
          <w:tcPr>
            <w:tcW w:w="0" w:type="auto"/>
            <w:vAlign w:val="center"/>
            <w:hideMark/>
          </w:tcPr>
          <w:p w14:paraId="528F0D29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Requisito / Referencia</w:t>
            </w:r>
          </w:p>
        </w:tc>
        <w:tc>
          <w:tcPr>
            <w:tcW w:w="0" w:type="auto"/>
            <w:vAlign w:val="center"/>
            <w:hideMark/>
          </w:tcPr>
          <w:p w14:paraId="54F8CD9D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Cumple (S/N)</w:t>
            </w:r>
          </w:p>
        </w:tc>
        <w:tc>
          <w:tcPr>
            <w:tcW w:w="0" w:type="auto"/>
            <w:vAlign w:val="center"/>
            <w:hideMark/>
          </w:tcPr>
          <w:p w14:paraId="67F4D334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Observaciones</w:t>
            </w:r>
          </w:p>
        </w:tc>
      </w:tr>
      <w:tr w:rsidR="00746C32" w:rsidRPr="00746C32" w14:paraId="2AEB8160" w14:textId="77777777" w:rsidTr="00746C32">
        <w:tc>
          <w:tcPr>
            <w:tcW w:w="0" w:type="auto"/>
            <w:hideMark/>
          </w:tcPr>
          <w:p w14:paraId="51932D7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Identificación Dual</w:t>
            </w:r>
          </w:p>
        </w:tc>
        <w:tc>
          <w:tcPr>
            <w:tcW w:w="0" w:type="auto"/>
            <w:hideMark/>
          </w:tcPr>
          <w:p w14:paraId="16449AE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Uso de al menos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dos identificadores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 (nombre y ID) en brazaletes y registros desde el ingreso.</w:t>
            </w:r>
          </w:p>
        </w:tc>
        <w:tc>
          <w:tcPr>
            <w:tcW w:w="0" w:type="auto"/>
            <w:hideMark/>
          </w:tcPr>
          <w:p w14:paraId="60F86EB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5BCE6B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59246B7D" w14:textId="77777777" w:rsidTr="00746C32">
        <w:tc>
          <w:tcPr>
            <w:tcW w:w="0" w:type="auto"/>
            <w:hideMark/>
          </w:tcPr>
          <w:p w14:paraId="27CF0EA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Técnica "Teach Back"</w:t>
            </w:r>
          </w:p>
        </w:tc>
        <w:tc>
          <w:tcPr>
            <w:tcW w:w="0" w:type="auto"/>
            <w:hideMark/>
          </w:tcPr>
          <w:p w14:paraId="4D70E64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El personal corrobora la comprensión pidiendo al usuario que explique las instrucciones con sus palabras.</w:t>
            </w:r>
          </w:p>
        </w:tc>
        <w:tc>
          <w:tcPr>
            <w:tcW w:w="0" w:type="auto"/>
            <w:hideMark/>
          </w:tcPr>
          <w:p w14:paraId="7F3FA0BC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706562A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7D8D54AB" w14:textId="77777777" w:rsidTr="00746C32">
        <w:tc>
          <w:tcPr>
            <w:tcW w:w="0" w:type="auto"/>
            <w:hideMark/>
          </w:tcPr>
          <w:p w14:paraId="653C7944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Información del Riesgo</w:t>
            </w:r>
          </w:p>
        </w:tc>
        <w:tc>
          <w:tcPr>
            <w:tcW w:w="0" w:type="auto"/>
            <w:hideMark/>
          </w:tcPr>
          <w:p w14:paraId="5C05244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Se comunica al paciente el resultado del Triage, área de tratamiento y tiempo estimado de espera.</w:t>
            </w:r>
          </w:p>
        </w:tc>
        <w:tc>
          <w:tcPr>
            <w:tcW w:w="0" w:type="auto"/>
            <w:hideMark/>
          </w:tcPr>
          <w:p w14:paraId="4C4CC9CC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8E67E7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563BEBFB" w14:textId="77777777" w:rsidTr="00746C32">
        <w:tc>
          <w:tcPr>
            <w:tcW w:w="0" w:type="auto"/>
            <w:hideMark/>
          </w:tcPr>
          <w:p w14:paraId="31F616F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Trato Digno y Lenguaje</w:t>
            </w:r>
          </w:p>
        </w:tc>
        <w:tc>
          <w:tcPr>
            <w:tcW w:w="0" w:type="auto"/>
            <w:hideMark/>
          </w:tcPr>
          <w:p w14:paraId="48DCACE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El personal utiliza lenguaje sencillo, evitando tecnicismos, para asegurar la comprensión.</w:t>
            </w:r>
          </w:p>
        </w:tc>
        <w:tc>
          <w:tcPr>
            <w:tcW w:w="0" w:type="auto"/>
            <w:hideMark/>
          </w:tcPr>
          <w:p w14:paraId="54E2986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3FC6F06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2B391261" w14:textId="77777777" w:rsidTr="00746C32">
        <w:tc>
          <w:tcPr>
            <w:tcW w:w="0" w:type="auto"/>
            <w:hideMark/>
          </w:tcPr>
          <w:p w14:paraId="53D8DBD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Consentimiento</w:t>
            </w:r>
          </w:p>
        </w:tc>
        <w:tc>
          <w:tcPr>
            <w:tcW w:w="0" w:type="auto"/>
            <w:hideMark/>
          </w:tcPr>
          <w:p w14:paraId="4177ABC4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Se informa sobre beneficios, riesgos y alternativas antes de cualquier procedimiento.</w:t>
            </w:r>
          </w:p>
        </w:tc>
        <w:tc>
          <w:tcPr>
            <w:tcW w:w="0" w:type="auto"/>
            <w:hideMark/>
          </w:tcPr>
          <w:p w14:paraId="2705490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0D0898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</w:tbl>
    <w:p w14:paraId="18D8D465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</w:pPr>
    </w:p>
    <w:p w14:paraId="4782E343" w14:textId="05A15224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  <w:t>5. Adherencia a procesos y protocolos</w:t>
      </w:r>
    </w:p>
    <w:p w14:paraId="03555AE2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bCs/>
          <w:iCs/>
          <w:kern w:val="0"/>
          <w:sz w:val="18"/>
          <w:lang w:eastAsia="es-CO"/>
          <w14:ligatures w14:val="none"/>
        </w:rPr>
        <w:t>Criterio</w:t>
      </w:r>
      <w:r w:rsidRPr="00746C32"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  <w:t>: Verificar la competencia técnica del talento humano y la aplicación de guías clínicas.</w:t>
      </w:r>
    </w:p>
    <w:p w14:paraId="5B571708" w14:textId="77777777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0"/>
        <w:gridCol w:w="6430"/>
        <w:gridCol w:w="811"/>
        <w:gridCol w:w="1321"/>
      </w:tblGrid>
      <w:tr w:rsidR="00746C32" w:rsidRPr="00746C32" w14:paraId="66731765" w14:textId="77777777" w:rsidTr="00746C32">
        <w:tc>
          <w:tcPr>
            <w:tcW w:w="0" w:type="auto"/>
            <w:vAlign w:val="center"/>
            <w:hideMark/>
          </w:tcPr>
          <w:p w14:paraId="7C8C45E6" w14:textId="02120AAA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Ítem</w:t>
            </w:r>
          </w:p>
        </w:tc>
        <w:tc>
          <w:tcPr>
            <w:tcW w:w="0" w:type="auto"/>
            <w:vAlign w:val="center"/>
            <w:hideMark/>
          </w:tcPr>
          <w:p w14:paraId="2C62726F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Requisito / Referencia</w:t>
            </w:r>
          </w:p>
        </w:tc>
        <w:tc>
          <w:tcPr>
            <w:tcW w:w="0" w:type="auto"/>
            <w:vAlign w:val="center"/>
            <w:hideMark/>
          </w:tcPr>
          <w:p w14:paraId="57CCC9B0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Cumple (S/N)</w:t>
            </w:r>
          </w:p>
        </w:tc>
        <w:tc>
          <w:tcPr>
            <w:tcW w:w="0" w:type="auto"/>
            <w:vAlign w:val="center"/>
            <w:hideMark/>
          </w:tcPr>
          <w:p w14:paraId="66625C12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Observaciones</w:t>
            </w:r>
          </w:p>
        </w:tc>
      </w:tr>
      <w:tr w:rsidR="00746C32" w:rsidRPr="00746C32" w14:paraId="2C815613" w14:textId="77777777" w:rsidTr="00746C32">
        <w:tc>
          <w:tcPr>
            <w:tcW w:w="0" w:type="auto"/>
            <w:hideMark/>
          </w:tcPr>
          <w:p w14:paraId="68557D5E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Soporte Vital Avanzado</w:t>
            </w:r>
          </w:p>
        </w:tc>
        <w:tc>
          <w:tcPr>
            <w:tcW w:w="0" w:type="auto"/>
            <w:hideMark/>
          </w:tcPr>
          <w:p w14:paraId="32B76CC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Médicos y enfermeros cuentan con constancia vigente de formación en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Soporte Vital Avanzado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41D4917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12DC67A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15BE01F3" w14:textId="77777777" w:rsidTr="00746C32">
        <w:tc>
          <w:tcPr>
            <w:tcW w:w="0" w:type="auto"/>
            <w:hideMark/>
          </w:tcPr>
          <w:p w14:paraId="78CFD9A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Protocolos Críticos</w:t>
            </w:r>
          </w:p>
        </w:tc>
        <w:tc>
          <w:tcPr>
            <w:tcW w:w="0" w:type="auto"/>
            <w:hideMark/>
          </w:tcPr>
          <w:p w14:paraId="58DE2287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Adherencia documentada a GPC para </w:t>
            </w: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ACV, Trauma Craneoencefálico y Reanimación</w:t>
            </w: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.</w:t>
            </w:r>
          </w:p>
        </w:tc>
        <w:tc>
          <w:tcPr>
            <w:tcW w:w="0" w:type="auto"/>
            <w:hideMark/>
          </w:tcPr>
          <w:p w14:paraId="5CDF71E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0320A09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3D73371F" w14:textId="77777777" w:rsidTr="00746C32">
        <w:tc>
          <w:tcPr>
            <w:tcW w:w="0" w:type="auto"/>
            <w:hideMark/>
          </w:tcPr>
          <w:p w14:paraId="355D7E2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Derivación T4 y T5</w:t>
            </w:r>
          </w:p>
        </w:tc>
        <w:tc>
          <w:tcPr>
            <w:tcW w:w="0" w:type="auto"/>
            <w:hideMark/>
          </w:tcPr>
          <w:p w14:paraId="5EBC80F8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Aplicación del protocolo de derivación a consulta externa prioritaria o domiciliaria según la EAPB.</w:t>
            </w:r>
          </w:p>
        </w:tc>
        <w:tc>
          <w:tcPr>
            <w:tcW w:w="0" w:type="auto"/>
            <w:hideMark/>
          </w:tcPr>
          <w:p w14:paraId="00AC80CA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4D57EED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746C32" w:rsidRPr="00746C32" w14:paraId="161DC897" w14:textId="77777777" w:rsidTr="00746C32">
        <w:tc>
          <w:tcPr>
            <w:tcW w:w="0" w:type="auto"/>
            <w:hideMark/>
          </w:tcPr>
          <w:p w14:paraId="08166A5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Entrega de Turno</w:t>
            </w:r>
          </w:p>
        </w:tc>
        <w:tc>
          <w:tcPr>
            <w:tcW w:w="0" w:type="auto"/>
            <w:hideMark/>
          </w:tcPr>
          <w:p w14:paraId="5EFB6446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Registro del proceso de entrega de turno interdisciplinario para garantizar continuidad.</w:t>
            </w:r>
          </w:p>
        </w:tc>
        <w:tc>
          <w:tcPr>
            <w:tcW w:w="0" w:type="auto"/>
            <w:hideMark/>
          </w:tcPr>
          <w:p w14:paraId="6D42C03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4D62387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  <w:tr w:rsidR="00A3749A" w:rsidRPr="00746C32" w14:paraId="51BC47C7" w14:textId="77777777" w:rsidTr="00746C32">
        <w:tc>
          <w:tcPr>
            <w:tcW w:w="0" w:type="auto"/>
          </w:tcPr>
          <w:p w14:paraId="7AC6507F" w14:textId="2D9226CA" w:rsidR="00A3749A" w:rsidRPr="00746C32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lang w:eastAsia="es-CO"/>
                <w14:ligatures w14:val="none"/>
              </w:rPr>
              <w:t>Clasificacion sistematizada</w:t>
            </w:r>
          </w:p>
        </w:tc>
        <w:tc>
          <w:tcPr>
            <w:tcW w:w="0" w:type="auto"/>
          </w:tcPr>
          <w:p w14:paraId="4571E0D3" w14:textId="77777777" w:rsidR="00521A44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A3749A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Tener un modelo de Triage sistematizado</w:t>
            </w:r>
            <w:r w:rsidR="00521A44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 xml:space="preserve"> que mititga la subjetividad del personal </w:t>
            </w:r>
          </w:p>
          <w:p w14:paraId="4F9D8BE4" w14:textId="77777777" w:rsidR="00521A44" w:rsidRDefault="00521A44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  <w:p w14:paraId="250B12A5" w14:textId="3CCAEAC6" w:rsidR="00A3749A" w:rsidRPr="00746C32" w:rsidRDefault="00521A44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(</w:t>
            </w:r>
            <w:r w:rsidR="00A3749A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 xml:space="preserve">cuenta con </w:t>
            </w:r>
            <w:r w:rsidR="00A3749A" w:rsidRPr="00A3749A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 xml:space="preserve">acciones a desarrollar o desarrolladas </w:t>
            </w:r>
            <w:r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 xml:space="preserve">con el </w:t>
            </w:r>
            <w:r w:rsidR="00A3749A" w:rsidRPr="00A3749A"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personal a cargo de realizar la clasificación y hacer seguimiento a los tiempos de atención con el debido registro independiente del uso de Software que la entidad pueda utilizar para adelantar este proceso</w:t>
            </w:r>
            <w:r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  <w:t>)</w:t>
            </w:r>
          </w:p>
        </w:tc>
        <w:tc>
          <w:tcPr>
            <w:tcW w:w="0" w:type="auto"/>
          </w:tcPr>
          <w:p w14:paraId="34D71D2F" w14:textId="77777777" w:rsidR="00A3749A" w:rsidRPr="00746C32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</w:tcPr>
          <w:p w14:paraId="3B87545D" w14:textId="77777777" w:rsidR="00A3749A" w:rsidRPr="00746C32" w:rsidRDefault="00A3749A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</w:tbl>
    <w:p w14:paraId="673C8A85" w14:textId="77777777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  <w:t>--------------------------------------------------------------------------------</w:t>
      </w:r>
    </w:p>
    <w:p w14:paraId="308D65E3" w14:textId="77777777" w:rsidR="00746C32" w:rsidRDefault="00746C32">
      <w:pPr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</w:pPr>
      <w:r>
        <w:rPr>
          <w:rFonts w:ascii="Arial" w:eastAsia="Times New Roman" w:hAnsi="Arial" w:cs="Times New Roman"/>
          <w:bCs/>
          <w:kern w:val="0"/>
          <w:sz w:val="18"/>
          <w:lang w:eastAsia="es-CO"/>
          <w14:ligatures w14:val="none"/>
        </w:rPr>
        <w:br w:type="page"/>
      </w:r>
    </w:p>
    <w:p w14:paraId="189AEC55" w14:textId="371B620D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b/>
          <w:kern w:val="0"/>
          <w:sz w:val="18"/>
          <w:lang w:eastAsia="es-CO"/>
          <w14:ligatures w14:val="none"/>
        </w:rPr>
        <w:lastRenderedPageBreak/>
        <w:t>6. Gestión de Peticiones, Quejas, Reclamos y Denuncias (PQRD)</w:t>
      </w:r>
    </w:p>
    <w:p w14:paraId="4E88AAEB" w14:textId="77777777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</w:pPr>
    </w:p>
    <w:p w14:paraId="0A692E75" w14:textId="3B8A9526" w:rsidR="00746C32" w:rsidRDefault="00746C32" w:rsidP="00746C32">
      <w:pPr>
        <w:spacing w:after="0" w:line="240" w:lineRule="auto"/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</w:pPr>
      <w:r w:rsidRPr="00746C32">
        <w:rPr>
          <w:rFonts w:ascii="Arial" w:eastAsia="Times New Roman" w:hAnsi="Arial" w:cs="Times New Roman"/>
          <w:iCs/>
          <w:kern w:val="0"/>
          <w:sz w:val="18"/>
          <w:lang w:eastAsia="es-CO"/>
          <w14:ligatures w14:val="none"/>
        </w:rPr>
        <w:t>Este registro permite el monitoreo de las barreras de acceso y fallas en la oportunidad identificadas por el usuario.</w:t>
      </w:r>
    </w:p>
    <w:p w14:paraId="066167F1" w14:textId="77777777" w:rsidR="00746C32" w:rsidRPr="00746C32" w:rsidRDefault="00746C32" w:rsidP="00746C32">
      <w:pPr>
        <w:spacing w:after="0" w:line="240" w:lineRule="auto"/>
        <w:rPr>
          <w:rFonts w:ascii="Arial" w:eastAsia="Times New Roman" w:hAnsi="Arial" w:cs="Times New Roman"/>
          <w:kern w:val="0"/>
          <w:sz w:val="18"/>
          <w:lang w:eastAsia="es-CO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"/>
        <w:gridCol w:w="3370"/>
        <w:gridCol w:w="3678"/>
        <w:gridCol w:w="1951"/>
      </w:tblGrid>
      <w:tr w:rsidR="00746C32" w:rsidRPr="00746C32" w14:paraId="6B7D59D9" w14:textId="77777777" w:rsidTr="00746C32">
        <w:tc>
          <w:tcPr>
            <w:tcW w:w="0" w:type="auto"/>
            <w:vAlign w:val="center"/>
            <w:hideMark/>
          </w:tcPr>
          <w:p w14:paraId="0027ED1D" w14:textId="77777777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ID Trámite</w:t>
            </w:r>
          </w:p>
        </w:tc>
        <w:tc>
          <w:tcPr>
            <w:tcW w:w="0" w:type="auto"/>
            <w:vAlign w:val="center"/>
            <w:hideMark/>
          </w:tcPr>
          <w:p w14:paraId="07ED8CF9" w14:textId="77777777" w:rsid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 xml:space="preserve">Asunto Central </w:t>
            </w:r>
          </w:p>
          <w:p w14:paraId="16C02444" w14:textId="06C67E72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(Barrera de Acceso / Falla Oportunidad)</w:t>
            </w:r>
          </w:p>
        </w:tc>
        <w:tc>
          <w:tcPr>
            <w:tcW w:w="0" w:type="auto"/>
            <w:vAlign w:val="center"/>
            <w:hideMark/>
          </w:tcPr>
          <w:p w14:paraId="7827B870" w14:textId="77777777" w:rsid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 xml:space="preserve">Respuesta Gestionada </w:t>
            </w:r>
          </w:p>
          <w:p w14:paraId="643BF70E" w14:textId="3F45E9D0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(Plan de Mejora / Acción Correctiva)</w:t>
            </w:r>
          </w:p>
        </w:tc>
        <w:tc>
          <w:tcPr>
            <w:tcW w:w="0" w:type="auto"/>
            <w:vAlign w:val="center"/>
            <w:hideMark/>
          </w:tcPr>
          <w:p w14:paraId="526A7FFE" w14:textId="77777777" w:rsid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 xml:space="preserve">Estado </w:t>
            </w:r>
          </w:p>
          <w:p w14:paraId="21090A95" w14:textId="77777777" w:rsid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Actual</w:t>
            </w:r>
          </w:p>
          <w:p w14:paraId="6B81BEB0" w14:textId="49008CC1" w:rsidR="00746C32" w:rsidRPr="00746C32" w:rsidRDefault="00746C32" w:rsidP="00746C32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</w:pPr>
            <w:r>
              <w:rPr>
                <w:rFonts w:ascii="Arial" w:eastAsia="Times New Roman" w:hAnsi="Arial" w:cs="Times New Roman"/>
                <w:b/>
                <w:kern w:val="0"/>
                <w:sz w:val="18"/>
                <w:lang w:eastAsia="es-CO"/>
                <w14:ligatures w14:val="none"/>
              </w:rPr>
              <w:t>(Cerrado/seguimiento)</w:t>
            </w:r>
          </w:p>
        </w:tc>
      </w:tr>
      <w:tr w:rsidR="00746C32" w:rsidRPr="00746C32" w14:paraId="30583F40" w14:textId="77777777" w:rsidTr="00746C32">
        <w:tc>
          <w:tcPr>
            <w:tcW w:w="0" w:type="auto"/>
            <w:hideMark/>
          </w:tcPr>
          <w:p w14:paraId="42ECDA09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Ej: 2026-001</w:t>
            </w:r>
          </w:p>
        </w:tc>
        <w:tc>
          <w:tcPr>
            <w:tcW w:w="0" w:type="auto"/>
            <w:hideMark/>
          </w:tcPr>
          <w:p w14:paraId="13755D0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Barrera: Exigencia de bono antes de Triage.</w:t>
            </w:r>
          </w:p>
        </w:tc>
        <w:tc>
          <w:tcPr>
            <w:tcW w:w="0" w:type="auto"/>
            <w:hideMark/>
          </w:tcPr>
          <w:p w14:paraId="187E42D0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Reinducción normativa a admisiones y ajuste de flujo.</w:t>
            </w:r>
          </w:p>
        </w:tc>
        <w:tc>
          <w:tcPr>
            <w:tcW w:w="0" w:type="auto"/>
            <w:hideMark/>
          </w:tcPr>
          <w:p w14:paraId="3ED5EFAB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Cerrado</w:t>
            </w:r>
          </w:p>
        </w:tc>
      </w:tr>
      <w:tr w:rsidR="00746C32" w:rsidRPr="00746C32" w14:paraId="7BBA08DD" w14:textId="77777777" w:rsidTr="00746C32">
        <w:tc>
          <w:tcPr>
            <w:tcW w:w="0" w:type="auto"/>
            <w:hideMark/>
          </w:tcPr>
          <w:p w14:paraId="447F42B5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Ej: 2026-002</w:t>
            </w:r>
          </w:p>
        </w:tc>
        <w:tc>
          <w:tcPr>
            <w:tcW w:w="0" w:type="auto"/>
            <w:hideMark/>
          </w:tcPr>
          <w:p w14:paraId="612EE607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Inoportunidad: Retención de ambulancia &gt; 60 min.</w:t>
            </w:r>
          </w:p>
        </w:tc>
        <w:tc>
          <w:tcPr>
            <w:tcW w:w="0" w:type="auto"/>
            <w:hideMark/>
          </w:tcPr>
          <w:p w14:paraId="5F3B974C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Auditoría de tiempos y ajuste de asignación de camillas.</w:t>
            </w:r>
          </w:p>
        </w:tc>
        <w:tc>
          <w:tcPr>
            <w:tcW w:w="0" w:type="auto"/>
            <w:hideMark/>
          </w:tcPr>
          <w:p w14:paraId="0C28290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  <w:r w:rsidRPr="00746C32">
              <w:rPr>
                <w:rFonts w:ascii="Arial" w:eastAsia="Times New Roman" w:hAnsi="Arial" w:cs="Times New Roman"/>
                <w:iCs/>
                <w:kern w:val="0"/>
                <w:sz w:val="18"/>
                <w:lang w:eastAsia="es-CO"/>
                <w14:ligatures w14:val="none"/>
              </w:rPr>
              <w:t>En Seguimiento</w:t>
            </w:r>
          </w:p>
        </w:tc>
      </w:tr>
      <w:tr w:rsidR="00746C32" w:rsidRPr="00746C32" w14:paraId="0EDC5E18" w14:textId="77777777" w:rsidTr="00746C32">
        <w:tc>
          <w:tcPr>
            <w:tcW w:w="0" w:type="auto"/>
            <w:hideMark/>
          </w:tcPr>
          <w:p w14:paraId="2AF31001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49B9CAC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77A635DF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E6DA193" w14:textId="77777777" w:rsidR="00746C32" w:rsidRPr="00746C32" w:rsidRDefault="00746C32" w:rsidP="00746C32">
            <w:pPr>
              <w:spacing w:after="0" w:line="240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es-CO"/>
                <w14:ligatures w14:val="none"/>
              </w:rPr>
            </w:pPr>
          </w:p>
        </w:tc>
      </w:tr>
    </w:tbl>
    <w:p w14:paraId="3592D3BF" w14:textId="77777777" w:rsidR="00460155" w:rsidRPr="00746C32" w:rsidRDefault="00460155">
      <w:pPr>
        <w:rPr>
          <w:rFonts w:ascii="Arial" w:hAnsi="Arial"/>
          <w:sz w:val="18"/>
        </w:rPr>
      </w:pPr>
    </w:p>
    <w:sectPr w:rsidR="00460155" w:rsidRPr="00746C32" w:rsidSect="00746C32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C32"/>
    <w:rsid w:val="00315EC9"/>
    <w:rsid w:val="0033593F"/>
    <w:rsid w:val="00460155"/>
    <w:rsid w:val="004F1397"/>
    <w:rsid w:val="00521A44"/>
    <w:rsid w:val="005B7148"/>
    <w:rsid w:val="006C1168"/>
    <w:rsid w:val="00746C32"/>
    <w:rsid w:val="00850FA0"/>
    <w:rsid w:val="00A3749A"/>
    <w:rsid w:val="00DF2C13"/>
    <w:rsid w:val="00FB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3EF18"/>
  <w15:chartTrackingRefBased/>
  <w15:docId w15:val="{ACB5514E-AB5A-432C-9C13-A91AE54C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46C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6C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6C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6C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6C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6C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6C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6C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6C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6C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6C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6C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6C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6C3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6C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6C3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6C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6C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46C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46C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6C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46C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6C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46C3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6C3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46C3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6C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6C3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6C32"/>
    <w:rPr>
      <w:b/>
      <w:bCs/>
      <w:smallCaps/>
      <w:color w:val="0F4761" w:themeColor="accent1" w:themeShade="BF"/>
      <w:spacing w:val="5"/>
    </w:rPr>
  </w:style>
  <w:style w:type="character" w:customStyle="1" w:styleId="ng-star-inserted">
    <w:name w:val="ng-star-inserted"/>
    <w:basedOn w:val="Fuentedeprrafopredeter"/>
    <w:rsid w:val="00746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1087</Words>
  <Characters>5982</Characters>
  <Application>Microsoft Office Word</Application>
  <DocSecurity>0</DocSecurity>
  <Lines>49</Lines>
  <Paragraphs>14</Paragraphs>
  <ScaleCrop>false</ScaleCrop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Oswaldo, Vargas Duquino</dc:creator>
  <cp:keywords/>
  <dc:description/>
  <cp:lastModifiedBy>Oswaldo, Vargas Duquino</cp:lastModifiedBy>
  <cp:revision>4</cp:revision>
  <cp:lastPrinted>2026-05-07T05:02:00Z</cp:lastPrinted>
  <dcterms:created xsi:type="dcterms:W3CDTF">2026-05-07T04:41:00Z</dcterms:created>
  <dcterms:modified xsi:type="dcterms:W3CDTF">2026-05-07T05:02:00Z</dcterms:modified>
</cp:coreProperties>
</file>